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B8" w:rsidRPr="0061692D" w:rsidRDefault="006B3BB8" w:rsidP="006B3BB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Toc39496661"/>
      <w:r w:rsidRPr="0061692D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6169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692D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C30CB8" w:rsidRPr="0061692D" w:rsidRDefault="00C30CB8" w:rsidP="00C30CB8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1692D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АВ-01985-01-10</w:t>
      </w:r>
    </w:p>
    <w:p w:rsidR="008F16E2" w:rsidRPr="00EC7432" w:rsidRDefault="008F16E2" w:rsidP="006B3BB8">
      <w:pPr>
        <w:keepNext/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</w:p>
    <w:p w:rsidR="008F16E2" w:rsidRDefault="008F16E2" w:rsidP="00EA0040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Коротка характеристика препарату</w:t>
      </w:r>
      <w:bookmarkEnd w:id="0"/>
    </w:p>
    <w:p w:rsidR="00EA0040" w:rsidRPr="00EC7432" w:rsidRDefault="00EA0040" w:rsidP="00EA0040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1. Назва препарату 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ПРАФЕН</w:t>
      </w:r>
      <w:r w:rsidR="004353A2" w:rsidRPr="00EC743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uk-UA" w:eastAsia="ar-SA"/>
        </w:rPr>
        <w:t>®</w:t>
      </w: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ПЛЮС ЮНІОР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2. Склад</w:t>
      </w:r>
    </w:p>
    <w:p w:rsidR="00841239" w:rsidRPr="00D6081D" w:rsidRDefault="00841239" w:rsidP="003D5924">
      <w:pPr>
        <w:tabs>
          <w:tab w:val="left" w:pos="1995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таблетка (400 мг) містить діючі речовини: </w:t>
      </w:r>
    </w:p>
    <w:p w:rsidR="00841239" w:rsidRPr="00D6081D" w:rsidRDefault="00841239" w:rsidP="003D5924">
      <w:pPr>
        <w:tabs>
          <w:tab w:val="left" w:pos="1995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proofErr w:type="spellStart"/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празіквантел</w:t>
      </w:r>
      <w:proofErr w:type="spellEnd"/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— 25</w:t>
      </w:r>
      <w:r w:rsidRPr="00D608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мг; </w:t>
      </w:r>
    </w:p>
    <w:p w:rsidR="008F16E2" w:rsidRPr="00D6081D" w:rsidRDefault="00841239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proofErr w:type="spellStart"/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фенбендазол</w:t>
      </w:r>
      <w:proofErr w:type="spellEnd"/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— 250</w:t>
      </w:r>
      <w:r w:rsidRPr="00D608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D6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мг</w:t>
      </w:r>
      <w:r w:rsidR="008F16E2" w:rsidRPr="00D608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.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D608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Допоміжні речовини: крохмаль картопляний, кальцію </w:t>
      </w:r>
      <w:proofErr w:type="spellStart"/>
      <w:r w:rsidRPr="00D608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стеарат</w:t>
      </w:r>
      <w:proofErr w:type="spellEnd"/>
      <w:r w:rsidRPr="00D608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.</w:t>
      </w: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3. Фармацевтична форма 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Таблетки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4. Фармакологічні властивості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</w:pPr>
      <w:proofErr w:type="spellStart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>ATCvet</w:t>
      </w:r>
      <w:proofErr w:type="spellEnd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 xml:space="preserve"> QP52 </w:t>
      </w:r>
      <w:proofErr w:type="spellStart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>антигельмінтні</w:t>
      </w:r>
      <w:proofErr w:type="spellEnd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 xml:space="preserve"> ветеринарні препарати (QP52AA51, </w:t>
      </w:r>
      <w:proofErr w:type="spellStart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>празіквантел</w:t>
      </w:r>
      <w:proofErr w:type="spellEnd"/>
      <w:r w:rsidRPr="008305F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>, комбінації)</w:t>
      </w:r>
      <w:r w:rsidR="00EA004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zh-CN"/>
        </w:rPr>
        <w:t>.</w:t>
      </w:r>
    </w:p>
    <w:p w:rsidR="005106AE" w:rsidRPr="005106AE" w:rsidRDefault="005106AE" w:rsidP="005106A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</w:pPr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 xml:space="preserve">Комбінація </w:t>
      </w:r>
      <w:proofErr w:type="spellStart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>фенбендазолу</w:t>
      </w:r>
      <w:proofErr w:type="spellEnd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 xml:space="preserve"> та </w:t>
      </w:r>
      <w:proofErr w:type="spellStart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>празіквантелу</w:t>
      </w:r>
      <w:proofErr w:type="spellEnd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 xml:space="preserve">, що входять до складу препарату, забезпечує широкий спектр його </w:t>
      </w:r>
      <w:proofErr w:type="spellStart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>антигельмінтної</w:t>
      </w:r>
      <w:proofErr w:type="spellEnd"/>
      <w:r w:rsidRPr="005106AE">
        <w:rPr>
          <w:rFonts w:ascii="Times New Roman" w:eastAsia="Calibri" w:hAnsi="Times New Roman" w:cs="Times New Roman"/>
          <w:bCs/>
          <w:iCs/>
          <w:color w:val="000000"/>
          <w:kern w:val="3"/>
          <w:sz w:val="24"/>
          <w:szCs w:val="24"/>
          <w:lang w:val="uk-UA"/>
        </w:rPr>
        <w:t xml:space="preserve"> дії на всі фази розвитку гельмінтів, що паразитують у собак та котів.</w:t>
      </w:r>
    </w:p>
    <w:p w:rsidR="001F2CCE" w:rsidRPr="001F2CCE" w:rsidRDefault="001F2CCE" w:rsidP="001F2CC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</w:pP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Празіквантел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Pr="001F2C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є похідним </w:t>
      </w:r>
      <w:proofErr w:type="spellStart"/>
      <w:r w:rsidRPr="001F2C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піразинізохінолонів</w:t>
      </w:r>
      <w:proofErr w:type="spellEnd"/>
      <w:r w:rsidRPr="001F2C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ефективний проти </w:t>
      </w:r>
      <w:proofErr w:type="spellStart"/>
      <w:r w:rsidRPr="001F2CC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цестод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, підвищує проникність мембран клітин гельмінта для іонів кальцію, викликає </w:t>
      </w: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генералізоване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скорочення мускулатури паразита, що переходить в стійкий параліч, </w:t>
      </w:r>
      <w:r w:rsidR="00EE11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і</w:t>
      </w:r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призводить до загибелі гельмінтів. При пероральному введенні лікарського препарату </w:t>
      </w: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празіквантел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добре всмоктується в кишечнику, досягаючи максимальної концентрації в крові через 1-4 години, зв'язується білками плазми (до 80%), піддається </w:t>
      </w: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біотрансформації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в печінці з утворенням неактивних </w:t>
      </w: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моно-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і </w:t>
      </w:r>
      <w:proofErr w:type="spellStart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полігідроксілованих</w:t>
      </w:r>
      <w:proofErr w:type="spellEnd"/>
      <w:r w:rsidRPr="001F2C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метаболітів. Виводиться з організму переважно з сечею, і в незначних кількостях - з фекаліями.</w:t>
      </w:r>
    </w:p>
    <w:p w:rsidR="005106AE" w:rsidRPr="005106AE" w:rsidRDefault="00EE11DD" w:rsidP="005106A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uk-UA" w:eastAsia="uk-UA"/>
        </w:rPr>
        <w:t>Ф</w:t>
      </w:r>
      <w:proofErr w:type="spellStart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>енбендазол</w:t>
      </w:r>
      <w:proofErr w:type="spellEnd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>належить</w:t>
      </w:r>
      <w:proofErr w:type="spellEnd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 xml:space="preserve"> до </w:t>
      </w:r>
      <w:proofErr w:type="spellStart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>групи</w:t>
      </w:r>
      <w:proofErr w:type="spellEnd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EE11DD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uk-UA"/>
        </w:rPr>
        <w:t>бензімідазолів</w:t>
      </w:r>
      <w:proofErr w:type="spellEnd"/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="005106AE" w:rsidRPr="00EE11D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Володіє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високою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антигельмінтною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активністю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і широким спектром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дії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.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Згубно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діє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личинкові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і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статевозрілі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форми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 xml:space="preserve">нематод 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травного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 xml:space="preserve"> каналу </w:t>
      </w:r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та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легеневих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нематод (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Toxocara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canis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Toxocara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ca</w:t>
      </w:r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ti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Toxascaris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leonina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Ancylostoma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caninum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Uncinaria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stenocephala</w:t>
      </w:r>
      <w:proofErr w:type="spellEnd"/>
      <w:r w:rsidR="005106AE" w:rsidRPr="005106A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uk-UA"/>
        </w:rPr>
        <w:t>)</w:t>
      </w:r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деякі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види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цестод (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Echinococcus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granulosus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Dipylidium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caninum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Taenia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spp</w:t>
      </w:r>
      <w:proofErr w:type="spellEnd"/>
      <w:r w:rsidR="005106AE" w:rsidRPr="005106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.,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Mesocestoides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spp</w:t>
      </w:r>
      <w:proofErr w:type="spellEnd"/>
      <w:r w:rsidR="005106AE" w:rsidRPr="005106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.</w:t>
      </w:r>
      <w:r w:rsidR="005106AE" w:rsidRPr="005106A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uk-UA"/>
        </w:rPr>
        <w:t xml:space="preserve">) </w:t>
      </w:r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та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їхн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і</w:t>
      </w:r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 </w:t>
      </w:r>
      <w:proofErr w:type="spellStart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>яйця</w:t>
      </w:r>
      <w:proofErr w:type="spellEnd"/>
      <w:r w:rsidR="005106AE"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uk-UA"/>
        </w:rPr>
        <w:t xml:space="preserve">. </w:t>
      </w:r>
    </w:p>
    <w:p w:rsidR="005106AE" w:rsidRPr="005106AE" w:rsidRDefault="005106AE" w:rsidP="005106AE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uk-UA"/>
        </w:rPr>
      </w:pPr>
      <w:proofErr w:type="spellStart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Фенбендазол</w:t>
      </w:r>
      <w:proofErr w:type="spellEnd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 xml:space="preserve"> гальмує полімеризацію білків </w:t>
      </w:r>
      <w:proofErr w:type="spellStart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тубулінів</w:t>
      </w:r>
      <w:proofErr w:type="spellEnd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 xml:space="preserve"> в </w:t>
      </w:r>
      <w:proofErr w:type="spellStart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мікротубуліни</w:t>
      </w:r>
      <w:proofErr w:type="spellEnd"/>
      <w:r w:rsidRPr="005106A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 w:eastAsia="uk-UA"/>
        </w:rPr>
        <w:t>, гальмує активність енергетичних ферментів, що призводить до загибелі паразитів від виснаження.</w:t>
      </w:r>
    </w:p>
    <w:p w:rsidR="005106AE" w:rsidRPr="005106AE" w:rsidRDefault="005106AE" w:rsidP="005106AE">
      <w:pPr>
        <w:widowControl w:val="0"/>
        <w:spacing w:after="0" w:line="240" w:lineRule="auto"/>
        <w:ind w:right="-36" w:firstLine="567"/>
        <w:jc w:val="both"/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</w:pPr>
      <w:proofErr w:type="spellStart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>Фенбендазол</w:t>
      </w:r>
      <w:proofErr w:type="spellEnd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 xml:space="preserve"> має обмежене всмоктування зі шлунково-кишкового тракту. Максимальна концентрація в плазмі досягається приблизно через 2-7 годин після перорального прийому, рівень у плазмі не перевищує 1% від введеної дози. Введення </w:t>
      </w:r>
      <w:proofErr w:type="spellStart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>фенбендазолу</w:t>
      </w:r>
      <w:proofErr w:type="spellEnd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 xml:space="preserve"> з їжею підвищує його </w:t>
      </w:r>
      <w:proofErr w:type="spellStart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>біодоступність</w:t>
      </w:r>
      <w:proofErr w:type="spellEnd"/>
      <w:r w:rsidRPr="005106AE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  <w:lang w:val="uk-UA" w:eastAsia="uk-UA"/>
        </w:rPr>
        <w:t xml:space="preserve">. Виводиться з організму в основному в незмінному вигляді переважно з фекаліями, в незначній кількості із сечею. 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 Клінічні особливості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5.1. Види тварин</w:t>
      </w:r>
    </w:p>
    <w:p w:rsidR="000A777F" w:rsidRDefault="000A777F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Собаки, коти</w:t>
      </w: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</w:t>
      </w:r>
    </w:p>
    <w:p w:rsidR="008F16E2" w:rsidRPr="00EC7432" w:rsidRDefault="008F16E2" w:rsidP="003D59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5.2 Показання для застосування</w:t>
      </w:r>
    </w:p>
    <w:p w:rsidR="00475A33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</w:pPr>
      <w:r w:rsidRPr="0061692D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Лікувально-профілактична дегельмінтизація собак і котів при ураженні нематодами</w:t>
      </w: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та </w:t>
      </w:r>
      <w:proofErr w:type="spellStart"/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цестодами</w:t>
      </w:r>
      <w:proofErr w:type="spellEnd"/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: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Toxocara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canis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Т.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leonina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Uncinaria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stenocephala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Ancylostoma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caninum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Dipylidium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caninum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Taenia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pisiformis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T.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hydatigena</w:t>
      </w:r>
      <w:proofErr w:type="spellEnd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, </w:t>
      </w:r>
      <w:proofErr w:type="spellStart"/>
      <w:r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Echinococ</w:t>
      </w:r>
      <w:r w:rsidR="00475A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cus</w:t>
      </w:r>
      <w:proofErr w:type="spellEnd"/>
      <w:r w:rsidR="00475A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 xml:space="preserve"> </w:t>
      </w:r>
      <w:proofErr w:type="spellStart"/>
      <w:r w:rsidR="00475A3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granulosus</w:t>
      </w:r>
      <w:proofErr w:type="spellEnd"/>
      <w:r w:rsidR="00395B9E" w:rsidRPr="00EC74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zh-CN"/>
        </w:rPr>
        <w:t>.</w:t>
      </w:r>
    </w:p>
    <w:p w:rsidR="008F16E2" w:rsidRPr="00EC7432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5.3. Протипоказання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Індивідуальна </w:t>
      </w:r>
      <w:proofErr w:type="spellStart"/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гіперчутливість</w:t>
      </w:r>
      <w:proofErr w:type="spellEnd"/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 до складників препарату.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Не застосовувати виснаженим та ослабленим тваринам.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Не застосовувати самкам під час вагітності та лактації.</w:t>
      </w:r>
    </w:p>
    <w:p w:rsidR="00475A33" w:rsidRDefault="008305F1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Не застосовувати цуценятам та кошенятам молодше 3-тижневого віку.</w:t>
      </w:r>
    </w:p>
    <w:p w:rsidR="00D6081D" w:rsidRPr="0061692D" w:rsidRDefault="00D6081D" w:rsidP="00D6081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</w:t>
      </w:r>
      <w:r w:rsidRPr="0061692D">
        <w:rPr>
          <w:rFonts w:ascii="Times New Roman" w:hAnsi="Times New Roman" w:cs="Times New Roman"/>
          <w:sz w:val="24"/>
          <w:szCs w:val="24"/>
          <w:lang w:val="uk-UA"/>
        </w:rPr>
        <w:t>одатк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61692D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D6081D" w:rsidRDefault="00D6081D" w:rsidP="00D6081D">
      <w:pPr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1692D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АВ-01985-01-10</w:t>
      </w:r>
    </w:p>
    <w:p w:rsidR="00D6081D" w:rsidRPr="00D6081D" w:rsidRDefault="00D6081D" w:rsidP="00D6081D">
      <w:pPr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F16E2" w:rsidRPr="00EC7432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5.4. Побічна дія</w:t>
      </w:r>
    </w:p>
    <w:p w:rsidR="00475A33" w:rsidRDefault="008305F1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При передозуванні у тварин може спостерігатися пригнічений стан, відмова від корму, надлишкове слиновиділення, розлад травного каналу.</w:t>
      </w:r>
    </w:p>
    <w:p w:rsidR="008F16E2" w:rsidRPr="00EC7432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5.5. Особливі застереження при використанні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>П</w:t>
      </w:r>
      <w:r w:rsidR="00171A03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>ід час проведення</w:t>
      </w: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 xml:space="preserve"> дегельмінтизації слід дотримуватися термінів</w:t>
      </w:r>
      <w:r w:rsidR="00171A03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>,</w:t>
      </w:r>
      <w:bookmarkStart w:id="1" w:name="_GoBack"/>
      <w:bookmarkEnd w:id="1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 xml:space="preserve"> що рекомендуються інструкцією. У разі пропуску чергової обробки застосування препарату відновлюють у тій же дозі та за тією самою схемою.</w:t>
      </w:r>
    </w:p>
    <w:p w:rsidR="00475A33" w:rsidRDefault="008305F1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>Препарат не слід застосовувати одночасно з піперазином та засобами, що інгібують холінестеразу.</w:t>
      </w:r>
    </w:p>
    <w:p w:rsidR="008F16E2" w:rsidRPr="00EC7432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 xml:space="preserve">5.6. </w:t>
      </w:r>
      <w:r w:rsidR="008305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Використання</w:t>
      </w: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 xml:space="preserve"> під час вагітності, лактації</w:t>
      </w:r>
      <w:r w:rsidR="008305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, несучості.</w:t>
      </w:r>
    </w:p>
    <w:p w:rsidR="00475A33" w:rsidRDefault="008305F1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305F1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Можливість застосування препарату під час вагітності та лактації визначає лікар ветеринарної медицини із врахуванням можливих ризиків. При необхідності вагітним самкам препарат призначають за 3 тижні до передбачуваних родів, самкам які годують – через 2-3 тижні після родів під наглядом ветеринарного лікаря.</w:t>
      </w:r>
    </w:p>
    <w:p w:rsidR="008F16E2" w:rsidRPr="00EC7432" w:rsidRDefault="008F16E2" w:rsidP="00475A33">
      <w:pPr>
        <w:suppressAutoHyphens/>
        <w:spacing w:after="0" w:line="240" w:lineRule="auto"/>
        <w:ind w:right="53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5.7. Взаємодія з іншими засобами або інші форми взаємодії</w:t>
      </w:r>
    </w:p>
    <w:p w:rsidR="00BF55C6" w:rsidRDefault="008F16E2" w:rsidP="00BF55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Невідома.</w:t>
      </w:r>
    </w:p>
    <w:p w:rsidR="008F16E2" w:rsidRPr="00EC7432" w:rsidRDefault="008F16E2" w:rsidP="00BF55C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5.8. Дози і способи введення тваринам різного віку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 xml:space="preserve">Препарат призначений для перорального застосування </w:t>
      </w:r>
      <w:r w:rsidRPr="008305F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uk-UA" w:eastAsia="zh-CN"/>
        </w:rPr>
        <w:t>(</w:t>
      </w:r>
      <w:r w:rsidRPr="008305F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 w:eastAsia="zh-CN"/>
        </w:rPr>
        <w:t>per</w:t>
      </w:r>
      <w:r w:rsidRPr="008305F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 w:eastAsia="zh-CN"/>
        </w:rPr>
        <w:t>os</w:t>
      </w:r>
      <w:proofErr w:type="spellEnd"/>
      <w:r w:rsidRPr="008305F1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zh-CN"/>
        </w:rPr>
        <w:t>)</w:t>
      </w: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.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proofErr w:type="gram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З</w:t>
      </w:r>
      <w:proofErr w:type="gram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лікувальною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метою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дегельмінтизацію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тварин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проводять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один раз на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добу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протягом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трьох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діб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поспіль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.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proofErr w:type="gram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З</w:t>
      </w:r>
      <w:proofErr w:type="gram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профілактичною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метою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дегельмінтизацію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проводять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у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терапевтичній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дозі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раз </w:t>
      </w:r>
      <w:r w:rsidR="0061692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  <w:t>на</w:t>
      </w:r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три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місяці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, а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також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за 2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тижні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до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вакцинації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.</w:t>
      </w:r>
    </w:p>
    <w:p w:rsidR="008305F1" w:rsidRPr="008305F1" w:rsidRDefault="008305F1" w:rsidP="003D5924">
      <w:pPr>
        <w:suppressAutoHyphens/>
        <w:spacing w:after="0" w:line="240" w:lineRule="auto"/>
        <w:ind w:right="537"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zh-CN"/>
        </w:rPr>
      </w:pP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Застосовують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препарат у </w:t>
      </w:r>
      <w:proofErr w:type="spell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наступних</w:t>
      </w:r>
      <w:proofErr w:type="spell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proofErr w:type="gramStart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дозах</w:t>
      </w:r>
      <w:proofErr w:type="gramEnd"/>
      <w:r w:rsidRPr="008305F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>:</w:t>
      </w:r>
    </w:p>
    <w:p w:rsidR="008F16E2" w:rsidRPr="00EC7432" w:rsidRDefault="008F16E2" w:rsidP="003D59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</w:p>
    <w:tbl>
      <w:tblPr>
        <w:tblW w:w="817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1"/>
        <w:gridCol w:w="4253"/>
      </w:tblGrid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1C0919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zh-CN"/>
              </w:rPr>
            </w:pPr>
            <w:r w:rsidRPr="001C0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zh-CN"/>
              </w:rPr>
              <w:t>Маса тіла тварин, кг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1C0919" w:rsidRDefault="001C0919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zh-CN"/>
              </w:rPr>
            </w:pPr>
            <w:r w:rsidRPr="001C0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zh-CN"/>
              </w:rPr>
              <w:t xml:space="preserve">Доза </w:t>
            </w:r>
            <w:r w:rsidR="008F16E2" w:rsidRPr="001C0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zh-CN"/>
              </w:rPr>
              <w:t>таблетки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До 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¼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1-2,5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½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2,5-5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5-10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10-20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</w:tr>
      <w:tr w:rsidR="008F16E2" w:rsidRPr="00EC7432" w:rsidTr="00826F02"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Більше 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6E2" w:rsidRPr="00EC7432" w:rsidRDefault="008F16E2" w:rsidP="001C09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E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Не застосовують</w:t>
            </w:r>
          </w:p>
        </w:tc>
      </w:tr>
    </w:tbl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8F16E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5.9. Передозування (симптоми, невідкладні заходи, антидоти)</w:t>
      </w:r>
    </w:p>
    <w:p w:rsidR="001C0919" w:rsidRPr="001C0919" w:rsidRDefault="001C0919" w:rsidP="001C0919">
      <w:pPr>
        <w:widowControl w:val="0"/>
        <w:shd w:val="clear" w:color="auto" w:fill="FFFFFF"/>
        <w:spacing w:after="0" w:line="240" w:lineRule="auto"/>
        <w:ind w:right="45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1C091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uk-UA"/>
        </w:rPr>
        <w:t>Клінічних ознак передозування при застосуванні препарату у рекомендованих дозах не спостерігається.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5.10. Спеціальні застереження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Немає.</w:t>
      </w:r>
    </w:p>
    <w:p w:rsidR="001C0919" w:rsidRDefault="008F16E2" w:rsidP="001C0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</w:t>
      </w:r>
      <w:r w:rsidR="001C09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11. Період виведення (</w:t>
      </w:r>
      <w:proofErr w:type="spellStart"/>
      <w:r w:rsidR="001C09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каренції</w:t>
      </w:r>
      <w:proofErr w:type="spellEnd"/>
      <w:r w:rsidR="001C09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)</w:t>
      </w:r>
    </w:p>
    <w:p w:rsidR="00EF03B4" w:rsidRPr="00EF03B4" w:rsidRDefault="00EF03B4" w:rsidP="001C09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F03B4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Для непродуктивних тварин не регламентується.</w:t>
      </w:r>
    </w:p>
    <w:p w:rsidR="001C0919" w:rsidRDefault="008F16E2" w:rsidP="001C0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5.12 Спеціальні застереження для осіб і обслуговуючого персоналу</w:t>
      </w:r>
    </w:p>
    <w:p w:rsidR="008F16E2" w:rsidRPr="00EC7432" w:rsidRDefault="008F16E2" w:rsidP="001C0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 Фармацевтичні особливості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6.1. Форми несумісності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Невідомі.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6.2. Термін придатності</w:t>
      </w: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роки.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6.3. Особливі заходи безпеки при зберіганні</w:t>
      </w:r>
    </w:p>
    <w:p w:rsidR="00D6081D" w:rsidRDefault="00D6081D" w:rsidP="00D6081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6081D" w:rsidRPr="0061692D" w:rsidRDefault="00D6081D" w:rsidP="00D6081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</w:t>
      </w:r>
      <w:r w:rsidRPr="0061692D">
        <w:rPr>
          <w:rFonts w:ascii="Times New Roman" w:hAnsi="Times New Roman" w:cs="Times New Roman"/>
          <w:sz w:val="24"/>
          <w:szCs w:val="24"/>
          <w:lang w:val="uk-UA"/>
        </w:rPr>
        <w:t>одатк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61692D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D6081D" w:rsidRDefault="00D6081D" w:rsidP="00D6081D">
      <w:pPr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1692D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92D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61692D">
        <w:rPr>
          <w:rFonts w:ascii="Times New Roman" w:hAnsi="Times New Roman" w:cs="Times New Roman"/>
          <w:sz w:val="24"/>
          <w:szCs w:val="24"/>
        </w:rPr>
        <w:t xml:space="preserve"> АВ-01985-01-10</w:t>
      </w:r>
    </w:p>
    <w:p w:rsidR="00D6081D" w:rsidRPr="00D6081D" w:rsidRDefault="00D6081D" w:rsidP="00D6081D">
      <w:pPr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У заводському упакуванні в сухому темному, недоступному для діте</w:t>
      </w:r>
      <w:r w:rsidR="00826F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й, місці за температури від 0</w:t>
      </w: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до 25 °С.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6.4. Природа і склад контейнера первинного упакування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Таблетки, упаковані в полімерні чи скляні контейнери по 1,</w:t>
      </w:r>
      <w:r w:rsidR="006169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Pr="00EC74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4, 6, 10, 20, 50, 100, 200, 500 та 1000 таблеток. </w:t>
      </w:r>
    </w:p>
    <w:p w:rsidR="008F16E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6.5 Особливі заходи безпеки при поводженні з невикористаним препаратом або із його залишками</w:t>
      </w:r>
    </w:p>
    <w:p w:rsidR="00223752" w:rsidRPr="00EC7432" w:rsidRDefault="008F16E2" w:rsidP="003D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Невикористаний або </w:t>
      </w:r>
      <w:proofErr w:type="spellStart"/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протермінований</w:t>
      </w:r>
      <w:proofErr w:type="spellEnd"/>
      <w:r w:rsidRPr="00EC743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препарат утилізують відповідно до чинного законодавства. </w:t>
      </w:r>
    </w:p>
    <w:p w:rsidR="00223752" w:rsidRPr="00EC7432" w:rsidRDefault="000A777F" w:rsidP="003D5924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b/>
          <w:sz w:val="24"/>
          <w:szCs w:val="24"/>
          <w:lang w:val="uk-UA"/>
        </w:rPr>
        <w:t>7. Назва та місцезнаходження власника</w:t>
      </w:r>
      <w:r w:rsidR="00223752" w:rsidRPr="00EC74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реєстраційного посвідчення:</w:t>
      </w:r>
    </w:p>
    <w:p w:rsidR="00EC7432" w:rsidRPr="00EC7432" w:rsidRDefault="00223752" w:rsidP="003D5924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ТОВ «АТ </w:t>
      </w:r>
      <w:proofErr w:type="spellStart"/>
      <w:r w:rsidRPr="00EC7432">
        <w:rPr>
          <w:rFonts w:ascii="Times New Roman" w:hAnsi="Times New Roman" w:cs="Times New Roman"/>
          <w:sz w:val="24"/>
          <w:szCs w:val="24"/>
          <w:lang w:val="uk-UA"/>
        </w:rPr>
        <w:t>Біофарм</w:t>
      </w:r>
      <w:proofErr w:type="spellEnd"/>
      <w:r w:rsidRPr="00EC743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C7432"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692D" w:rsidRPr="00EC7432" w:rsidRDefault="0061692D" w:rsidP="0061692D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61033, Україна, </w:t>
      </w: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м. Харків, </w:t>
      </w:r>
    </w:p>
    <w:p w:rsidR="00223752" w:rsidRPr="00EC7432" w:rsidRDefault="00223752" w:rsidP="003D5924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61692D">
        <w:rPr>
          <w:rFonts w:ascii="Times New Roman" w:hAnsi="Times New Roman" w:cs="Times New Roman"/>
          <w:sz w:val="24"/>
          <w:szCs w:val="24"/>
          <w:lang w:val="uk-UA"/>
        </w:rPr>
        <w:t>Клеменова</w:t>
      </w:r>
      <w:proofErr w:type="spellEnd"/>
      <w:r w:rsidR="0061692D">
        <w:rPr>
          <w:rFonts w:ascii="Times New Roman" w:hAnsi="Times New Roman" w:cs="Times New Roman"/>
          <w:sz w:val="24"/>
          <w:szCs w:val="24"/>
          <w:lang w:val="uk-UA"/>
        </w:rPr>
        <w:t xml:space="preserve"> Дача, буд. 12, кв. 11</w:t>
      </w:r>
    </w:p>
    <w:p w:rsidR="00223752" w:rsidRPr="00EC7432" w:rsidRDefault="00223752" w:rsidP="003D5924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b/>
          <w:sz w:val="24"/>
          <w:szCs w:val="24"/>
          <w:lang w:val="uk-UA"/>
        </w:rPr>
        <w:t>Виробник готового продукту:</w:t>
      </w:r>
    </w:p>
    <w:p w:rsidR="00223752" w:rsidRPr="00EC7432" w:rsidRDefault="00223752" w:rsidP="003D5924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ТОВ «АТ </w:t>
      </w:r>
      <w:proofErr w:type="spellStart"/>
      <w:r w:rsidRPr="00EC7432">
        <w:rPr>
          <w:rFonts w:ascii="Times New Roman" w:hAnsi="Times New Roman" w:cs="Times New Roman"/>
          <w:sz w:val="24"/>
          <w:szCs w:val="24"/>
          <w:lang w:val="uk-UA"/>
        </w:rPr>
        <w:t>Біофарм</w:t>
      </w:r>
      <w:proofErr w:type="spellEnd"/>
      <w:r w:rsidRPr="00EC7432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61692D" w:rsidRPr="00EC7432" w:rsidRDefault="0061692D" w:rsidP="0061692D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61033, Україна, </w:t>
      </w: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м. Харків, </w:t>
      </w:r>
    </w:p>
    <w:p w:rsidR="008F16E2" w:rsidRPr="00EC7432" w:rsidRDefault="0061692D" w:rsidP="0061692D">
      <w:pPr>
        <w:spacing w:line="240" w:lineRule="auto"/>
        <w:ind w:left="426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432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Клеменова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Дача, буд. 12, кв. 11</w:t>
      </w:r>
    </w:p>
    <w:sectPr w:rsidR="008F16E2" w:rsidRPr="00EC7432" w:rsidSect="006B3BB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33" w:rsidRDefault="00475A33" w:rsidP="0018421E">
      <w:pPr>
        <w:spacing w:after="0" w:line="240" w:lineRule="auto"/>
      </w:pPr>
      <w:r>
        <w:separator/>
      </w:r>
    </w:p>
  </w:endnote>
  <w:endnote w:type="continuationSeparator" w:id="0">
    <w:p w:rsidR="00475A33" w:rsidRDefault="00475A33" w:rsidP="0018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482722"/>
      <w:docPartObj>
        <w:docPartGallery w:val="Page Numbers (Bottom of Page)"/>
        <w:docPartUnique/>
      </w:docPartObj>
    </w:sdtPr>
    <w:sdtEndPr/>
    <w:sdtContent>
      <w:p w:rsidR="00475A33" w:rsidRDefault="00475A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A03">
          <w:rPr>
            <w:noProof/>
          </w:rPr>
          <w:t>2</w:t>
        </w:r>
        <w:r>
          <w:fldChar w:fldCharType="end"/>
        </w:r>
      </w:p>
    </w:sdtContent>
  </w:sdt>
  <w:p w:rsidR="00475A33" w:rsidRDefault="00475A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33" w:rsidRDefault="00475A33" w:rsidP="0018421E">
      <w:pPr>
        <w:spacing w:after="0" w:line="240" w:lineRule="auto"/>
      </w:pPr>
      <w:r>
        <w:separator/>
      </w:r>
    </w:p>
  </w:footnote>
  <w:footnote w:type="continuationSeparator" w:id="0">
    <w:p w:rsidR="00475A33" w:rsidRDefault="00475A33" w:rsidP="00184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24"/>
    <w:rsid w:val="00070C96"/>
    <w:rsid w:val="000A777F"/>
    <w:rsid w:val="00164947"/>
    <w:rsid w:val="00171A03"/>
    <w:rsid w:val="0018421E"/>
    <w:rsid w:val="001C0919"/>
    <w:rsid w:val="001F2CCE"/>
    <w:rsid w:val="00223752"/>
    <w:rsid w:val="00395B9E"/>
    <w:rsid w:val="003D5924"/>
    <w:rsid w:val="00413490"/>
    <w:rsid w:val="004353A2"/>
    <w:rsid w:val="00475A33"/>
    <w:rsid w:val="004E3A24"/>
    <w:rsid w:val="005106AE"/>
    <w:rsid w:val="005C3987"/>
    <w:rsid w:val="0061692D"/>
    <w:rsid w:val="006B3BB8"/>
    <w:rsid w:val="007E7666"/>
    <w:rsid w:val="00826F02"/>
    <w:rsid w:val="008305F1"/>
    <w:rsid w:val="00841239"/>
    <w:rsid w:val="008F16E2"/>
    <w:rsid w:val="00AF738C"/>
    <w:rsid w:val="00B94ACC"/>
    <w:rsid w:val="00BF55C6"/>
    <w:rsid w:val="00C30CB8"/>
    <w:rsid w:val="00D6081D"/>
    <w:rsid w:val="00D65BAD"/>
    <w:rsid w:val="00E61688"/>
    <w:rsid w:val="00EA0040"/>
    <w:rsid w:val="00EC7432"/>
    <w:rsid w:val="00EE11DD"/>
    <w:rsid w:val="00EE6E32"/>
    <w:rsid w:val="00EF03B4"/>
    <w:rsid w:val="00FA52CF"/>
    <w:rsid w:val="00FE4F50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21E"/>
  </w:style>
  <w:style w:type="paragraph" w:styleId="a5">
    <w:name w:val="footer"/>
    <w:basedOn w:val="a"/>
    <w:link w:val="a6"/>
    <w:uiPriority w:val="99"/>
    <w:unhideWhenUsed/>
    <w:rsid w:val="0018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21E"/>
  </w:style>
  <w:style w:type="character" w:styleId="a7">
    <w:name w:val="annotation reference"/>
    <w:basedOn w:val="a0"/>
    <w:uiPriority w:val="99"/>
    <w:semiHidden/>
    <w:unhideWhenUsed/>
    <w:rsid w:val="0018421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421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421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8421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8421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84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42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21E"/>
  </w:style>
  <w:style w:type="paragraph" w:styleId="a5">
    <w:name w:val="footer"/>
    <w:basedOn w:val="a"/>
    <w:link w:val="a6"/>
    <w:uiPriority w:val="99"/>
    <w:unhideWhenUsed/>
    <w:rsid w:val="0018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21E"/>
  </w:style>
  <w:style w:type="character" w:styleId="a7">
    <w:name w:val="annotation reference"/>
    <w:basedOn w:val="a0"/>
    <w:uiPriority w:val="99"/>
    <w:semiHidden/>
    <w:unhideWhenUsed/>
    <w:rsid w:val="0018421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421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421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8421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8421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84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4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3640</Words>
  <Characters>2076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Biofarm 51</dc:creator>
  <cp:keywords/>
  <dc:description/>
  <cp:lastModifiedBy>админ3</cp:lastModifiedBy>
  <cp:revision>16</cp:revision>
  <dcterms:created xsi:type="dcterms:W3CDTF">2025-02-11T15:53:00Z</dcterms:created>
  <dcterms:modified xsi:type="dcterms:W3CDTF">2025-10-24T07:19:00Z</dcterms:modified>
</cp:coreProperties>
</file>